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47B08" w:rsidRPr="007961C2">
        <w:rPr>
          <w:rFonts w:cs="Arial"/>
          <w:sz w:val="28"/>
          <w:szCs w:val="28"/>
        </w:rPr>
        <w:t>Berechnungen am Rechteck</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B47B08" w:rsidRPr="00CA4F42" w:rsidTr="00B47B08">
        <w:tc>
          <w:tcPr>
            <w:tcW w:w="2466" w:type="dxa"/>
            <w:vAlign w:val="center"/>
          </w:tcPr>
          <w:p w:rsidR="00B47B08" w:rsidRPr="00FE6928" w:rsidRDefault="00B47B08" w:rsidP="00E73945">
            <w:pPr>
              <w:pStyle w:val="IQB-Merkmal"/>
            </w:pPr>
            <w:r w:rsidRPr="00FE6928">
              <w:t>Leitidee</w:t>
            </w:r>
          </w:p>
        </w:tc>
        <w:tc>
          <w:tcPr>
            <w:tcW w:w="6604" w:type="dxa"/>
          </w:tcPr>
          <w:p w:rsidR="00B47B08" w:rsidRPr="00FE6928" w:rsidRDefault="00B47B08" w:rsidP="00E73945">
            <w:pPr>
              <w:pStyle w:val="IQB-Merkmalswert"/>
            </w:pPr>
            <w:r w:rsidRPr="00FE6928">
              <w:t>2. Messen</w:t>
            </w:r>
          </w:p>
        </w:tc>
      </w:tr>
      <w:tr w:rsidR="00B47B08" w:rsidRPr="00CA4F42" w:rsidTr="00B47B08">
        <w:tc>
          <w:tcPr>
            <w:tcW w:w="2466" w:type="dxa"/>
            <w:vAlign w:val="center"/>
          </w:tcPr>
          <w:p w:rsidR="00B47B08" w:rsidRPr="00FE6928" w:rsidRDefault="00B47B08" w:rsidP="00E73945">
            <w:pPr>
              <w:pStyle w:val="IQB-Merkmal"/>
            </w:pPr>
            <w:r w:rsidRPr="00FE6928">
              <w:t>Allgemeine Kompetenzen</w:t>
            </w:r>
          </w:p>
        </w:tc>
        <w:tc>
          <w:tcPr>
            <w:tcW w:w="6604" w:type="dxa"/>
          </w:tcPr>
          <w:p w:rsidR="00B47B08" w:rsidRPr="00FE6928" w:rsidRDefault="00B47B08" w:rsidP="00E73945">
            <w:pPr>
              <w:pStyle w:val="IQB-Merkmalswert"/>
            </w:pPr>
            <w:r>
              <w:t>Mit symbolischen, formalen und technischen Elementen der Mathematik umg</w:t>
            </w:r>
            <w:r>
              <w:t>e</w:t>
            </w:r>
            <w:r>
              <w:t>hen (K5)</w:t>
            </w:r>
          </w:p>
        </w:tc>
      </w:tr>
      <w:tr w:rsidR="00B47B08" w:rsidRPr="00CA4F42" w:rsidTr="00B47B08">
        <w:tc>
          <w:tcPr>
            <w:tcW w:w="2466" w:type="dxa"/>
            <w:vAlign w:val="center"/>
          </w:tcPr>
          <w:p w:rsidR="00B47B08" w:rsidRPr="00FE6928" w:rsidRDefault="00B47B08" w:rsidP="00E73945">
            <w:pPr>
              <w:pStyle w:val="IQB-Merkmal"/>
            </w:pPr>
            <w:r w:rsidRPr="00FE6928">
              <w:t>Anforderungsbereich</w:t>
            </w:r>
          </w:p>
        </w:tc>
        <w:tc>
          <w:tcPr>
            <w:tcW w:w="6604" w:type="dxa"/>
          </w:tcPr>
          <w:p w:rsidR="00B47B08" w:rsidRPr="00FE6928" w:rsidRDefault="00B47B08" w:rsidP="00E73945">
            <w:pPr>
              <w:pStyle w:val="IQB-Merkmalswert"/>
            </w:pPr>
            <w:r w:rsidRPr="00FE6928">
              <w:t>I</w:t>
            </w:r>
          </w:p>
        </w:tc>
      </w:tr>
      <w:tr w:rsidR="00B47B08" w:rsidRPr="00CA4F42" w:rsidTr="00B47B08">
        <w:tc>
          <w:tcPr>
            <w:tcW w:w="2466" w:type="dxa"/>
            <w:vAlign w:val="center"/>
          </w:tcPr>
          <w:p w:rsidR="00B47B08" w:rsidRPr="00FE6928" w:rsidRDefault="00B47B08" w:rsidP="00E73945">
            <w:pPr>
              <w:pStyle w:val="IQB-Merkmal"/>
            </w:pPr>
            <w:r w:rsidRPr="00FE6928">
              <w:t>Kompetenzstufe</w:t>
            </w:r>
          </w:p>
        </w:tc>
        <w:tc>
          <w:tcPr>
            <w:tcW w:w="6604" w:type="dxa"/>
          </w:tcPr>
          <w:p w:rsidR="00B47B08" w:rsidRPr="00FE6928" w:rsidRDefault="00B47B08" w:rsidP="00E73945">
            <w:pPr>
              <w:pStyle w:val="IQB-Merkmalswert"/>
            </w:pPr>
            <w:r w:rsidRPr="00FE6928">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B47B08" w:rsidRPr="00CA4F42" w:rsidTr="00B47B08">
        <w:tc>
          <w:tcPr>
            <w:tcW w:w="2466" w:type="dxa"/>
            <w:vAlign w:val="center"/>
          </w:tcPr>
          <w:p w:rsidR="00B47B08" w:rsidRPr="00FE6928" w:rsidRDefault="00B47B08" w:rsidP="00E73945">
            <w:pPr>
              <w:pStyle w:val="IQB-Merkmal"/>
            </w:pPr>
            <w:r w:rsidRPr="00FE6928">
              <w:t>Leitidee</w:t>
            </w:r>
          </w:p>
        </w:tc>
        <w:tc>
          <w:tcPr>
            <w:tcW w:w="6604" w:type="dxa"/>
          </w:tcPr>
          <w:p w:rsidR="00B47B08" w:rsidRPr="00FE6928" w:rsidRDefault="00B47B08" w:rsidP="00E73945">
            <w:pPr>
              <w:pStyle w:val="IQB-Merkmalswert"/>
            </w:pPr>
            <w:r w:rsidRPr="00FE6928">
              <w:t>2. Messen</w:t>
            </w:r>
          </w:p>
        </w:tc>
      </w:tr>
      <w:tr w:rsidR="00B47B08" w:rsidRPr="00CA4F42" w:rsidTr="00B47B08">
        <w:tc>
          <w:tcPr>
            <w:tcW w:w="2466" w:type="dxa"/>
            <w:vAlign w:val="center"/>
          </w:tcPr>
          <w:p w:rsidR="00B47B08" w:rsidRPr="00FE6928" w:rsidRDefault="00B47B08" w:rsidP="00E73945">
            <w:pPr>
              <w:pStyle w:val="IQB-Merkmal"/>
            </w:pPr>
            <w:r w:rsidRPr="00FE6928">
              <w:t>Allgemeine Kompetenzen</w:t>
            </w:r>
          </w:p>
        </w:tc>
        <w:tc>
          <w:tcPr>
            <w:tcW w:w="6604" w:type="dxa"/>
          </w:tcPr>
          <w:p w:rsidR="00B47B08" w:rsidRPr="00FE6928" w:rsidRDefault="00B47B08" w:rsidP="00E73945">
            <w:pPr>
              <w:pStyle w:val="IQB-Merkmalswert"/>
            </w:pPr>
            <w:r>
              <w:t>Mit symbolischen, formalen und technischen Elementen der Mathematik umg</w:t>
            </w:r>
            <w:r>
              <w:t>e</w:t>
            </w:r>
            <w:r>
              <w:t>hen (K5)</w:t>
            </w:r>
          </w:p>
        </w:tc>
      </w:tr>
      <w:tr w:rsidR="00B47B08" w:rsidRPr="00CA4F42" w:rsidTr="00B47B08">
        <w:tc>
          <w:tcPr>
            <w:tcW w:w="2466" w:type="dxa"/>
            <w:vAlign w:val="center"/>
          </w:tcPr>
          <w:p w:rsidR="00B47B08" w:rsidRPr="00FE6928" w:rsidRDefault="00B47B08" w:rsidP="00E73945">
            <w:pPr>
              <w:pStyle w:val="IQB-Merkmal"/>
            </w:pPr>
            <w:r w:rsidRPr="00FE6928">
              <w:t>Anforderungsbereich</w:t>
            </w:r>
          </w:p>
        </w:tc>
        <w:tc>
          <w:tcPr>
            <w:tcW w:w="6604" w:type="dxa"/>
          </w:tcPr>
          <w:p w:rsidR="00B47B08" w:rsidRPr="00FE6928" w:rsidRDefault="00B47B08" w:rsidP="00E73945">
            <w:pPr>
              <w:pStyle w:val="IQB-Merkmalswert"/>
            </w:pPr>
            <w:r w:rsidRPr="00FE6928">
              <w:t>I</w:t>
            </w:r>
          </w:p>
        </w:tc>
      </w:tr>
      <w:tr w:rsidR="00B47B08" w:rsidRPr="00CA4F42" w:rsidTr="00B47B08">
        <w:tc>
          <w:tcPr>
            <w:tcW w:w="2466" w:type="dxa"/>
            <w:vAlign w:val="center"/>
          </w:tcPr>
          <w:p w:rsidR="00B47B08" w:rsidRPr="00FE6928" w:rsidRDefault="00B47B08" w:rsidP="00E73945">
            <w:pPr>
              <w:pStyle w:val="IQB-Merkmal"/>
            </w:pPr>
            <w:r w:rsidRPr="00FE6928">
              <w:t>Kompetenzstufe</w:t>
            </w:r>
          </w:p>
        </w:tc>
        <w:tc>
          <w:tcPr>
            <w:tcW w:w="6604" w:type="dxa"/>
          </w:tcPr>
          <w:p w:rsidR="00B47B08" w:rsidRPr="00FE6928" w:rsidRDefault="00B47B08" w:rsidP="00E73945">
            <w:pPr>
              <w:pStyle w:val="IQB-Merkmalswert"/>
            </w:pPr>
            <w:r w:rsidRPr="00FE6928">
              <w:t>1b</w:t>
            </w:r>
          </w:p>
        </w:tc>
      </w:tr>
    </w:tbl>
    <w:p w:rsidR="00694A63" w:rsidRPr="00694A63" w:rsidRDefault="00694A63" w:rsidP="00694A63">
      <w:pPr>
        <w:pStyle w:val="IQB-Teilaufgabentitel"/>
        <w:rPr>
          <w:b/>
        </w:rPr>
      </w:pPr>
      <w:r w:rsidRPr="00694A63">
        <w:rPr>
          <w:b/>
        </w:rPr>
        <w:t>Aufgabenbezogener Kommentar</w:t>
      </w:r>
    </w:p>
    <w:p w:rsidR="00B47B08" w:rsidRPr="00DE305F" w:rsidRDefault="00B47B08" w:rsidP="00B47B08">
      <w:pPr>
        <w:pStyle w:val="IQB-AnweisungenText"/>
        <w:spacing w:before="0"/>
        <w:rPr>
          <w:rFonts w:ascii="Arial" w:hAnsi="Arial"/>
          <w:sz w:val="22"/>
          <w:szCs w:val="22"/>
        </w:rPr>
      </w:pPr>
      <w:r w:rsidRPr="00DE305F">
        <w:rPr>
          <w:rFonts w:ascii="Arial" w:hAnsi="Arial"/>
          <w:sz w:val="22"/>
          <w:szCs w:val="22"/>
        </w:rPr>
        <w:t xml:space="preserve">Die Aufgabe ist der </w:t>
      </w:r>
      <w:r w:rsidRPr="00AC3174">
        <w:rPr>
          <w:rFonts w:ascii="Arial" w:hAnsi="Arial"/>
          <w:sz w:val="22"/>
          <w:szCs w:val="22"/>
        </w:rPr>
        <w:t>Leitidee</w:t>
      </w:r>
      <w:r w:rsidRPr="00934AE1">
        <w:rPr>
          <w:rFonts w:ascii="Arial" w:hAnsi="Arial"/>
          <w:i/>
          <w:sz w:val="22"/>
          <w:szCs w:val="22"/>
        </w:rPr>
        <w:t xml:space="preserve"> Messen</w:t>
      </w:r>
      <w:r w:rsidRPr="00DE305F">
        <w:rPr>
          <w:rFonts w:ascii="Arial" w:hAnsi="Arial"/>
          <w:sz w:val="22"/>
          <w:szCs w:val="22"/>
        </w:rPr>
        <w:t xml:space="preserve"> (L2) zuzuordnen, da der Flächeninhalt und der Umfang eines Rechtecks berechnet werden soll.</w:t>
      </w:r>
    </w:p>
    <w:p w:rsidR="00B47B08" w:rsidRPr="00DE305F" w:rsidRDefault="00B47B08" w:rsidP="00B47B08">
      <w:pPr>
        <w:pStyle w:val="IQB-AnweisungenText"/>
        <w:rPr>
          <w:rFonts w:ascii="Arial" w:hAnsi="Arial"/>
          <w:sz w:val="22"/>
          <w:szCs w:val="22"/>
        </w:rPr>
      </w:pPr>
      <w:r w:rsidRPr="00DE305F">
        <w:rPr>
          <w:rFonts w:ascii="Arial" w:hAnsi="Arial"/>
          <w:sz w:val="22"/>
          <w:szCs w:val="22"/>
        </w:rPr>
        <w:t>Da Operationen mit den Längenangaben am Rechteck durchzuführen sind, fragt die Aufga</w:t>
      </w:r>
      <w:r>
        <w:rPr>
          <w:rFonts w:ascii="Arial" w:hAnsi="Arial"/>
          <w:sz w:val="22"/>
          <w:szCs w:val="22"/>
        </w:rPr>
        <w:t xml:space="preserve">be Kompetenzen im Bereich </w:t>
      </w:r>
      <w:r>
        <w:rPr>
          <w:rFonts w:ascii="Arial" w:hAnsi="Arial"/>
          <w:i/>
          <w:sz w:val="22"/>
          <w:szCs w:val="22"/>
        </w:rPr>
        <w:t>Mit symbolischen, formalen und technischen Elementen der Mathematik umgehen</w:t>
      </w:r>
      <w:r w:rsidRPr="00DE305F">
        <w:rPr>
          <w:rFonts w:ascii="Arial" w:hAnsi="Arial"/>
          <w:sz w:val="22"/>
          <w:szCs w:val="22"/>
        </w:rPr>
        <w:t xml:space="preserve"> (K5) ab.</w:t>
      </w:r>
    </w:p>
    <w:p w:rsidR="00B47B08" w:rsidRDefault="00B47B08" w:rsidP="00B47B08">
      <w:pPr>
        <w:pStyle w:val="IQB-AnweisungenText"/>
        <w:rPr>
          <w:rFonts w:ascii="Arial" w:hAnsi="Arial"/>
          <w:sz w:val="22"/>
          <w:szCs w:val="22"/>
        </w:rPr>
      </w:pPr>
      <w:r w:rsidRPr="00DE305F">
        <w:rPr>
          <w:rFonts w:ascii="Arial" w:hAnsi="Arial"/>
          <w:sz w:val="22"/>
          <w:szCs w:val="22"/>
        </w:rPr>
        <w:t>Es sind allerdings nur elementare Lösungsverfahren und das direkte Anwenden von Formeln nötig, so dass die Aufgabe dem Anforderungsbereich I zuzuordnen ist.</w:t>
      </w:r>
    </w:p>
    <w:p w:rsidR="00694A63" w:rsidRPr="00694A63" w:rsidRDefault="00694A63" w:rsidP="00B47B08">
      <w:pPr>
        <w:pStyle w:val="IQB-AnweisungenText"/>
        <w:spacing w:before="240" w:after="60"/>
        <w:rPr>
          <w:b/>
        </w:rPr>
      </w:pPr>
      <w:r w:rsidRPr="00694A63">
        <w:rPr>
          <w:b/>
        </w:rPr>
        <w:t>Anregungen für den Unterricht</w:t>
      </w:r>
    </w:p>
    <w:p w:rsidR="00B47B08" w:rsidRPr="00DE305F" w:rsidRDefault="00B47B08" w:rsidP="00B47B08">
      <w:pPr>
        <w:pStyle w:val="IQB-AnweisungenText"/>
        <w:spacing w:before="0" w:after="60"/>
        <w:rPr>
          <w:rFonts w:ascii="Arial" w:hAnsi="Arial"/>
          <w:sz w:val="22"/>
          <w:szCs w:val="22"/>
        </w:rPr>
      </w:pPr>
      <w:r>
        <w:rPr>
          <w:rFonts w:ascii="Arial" w:hAnsi="Arial"/>
          <w:sz w:val="22"/>
          <w:szCs w:val="22"/>
        </w:rPr>
        <w:t>Im Gegensatz zu vielen anderen Aufgaben sind hier keine Maßeinheiten vorgegeben (siehe Abbildung 1). Zur erfolgreichen Bearbeitung dieser Aufgabe sind deshalb die Rechenverfahren auszuwählen und Einheiten anzugeben. Die folgende Schülerlösung zeigt, dass der Schüler Einheiten von Flächeninhalten und Umfängen richtig angeben kann, aber die Verfahren verwechselt.</w:t>
      </w:r>
    </w:p>
    <w:p w:rsidR="00B47B08" w:rsidRPr="00CA4F42" w:rsidRDefault="00B47B08" w:rsidP="00B47B08">
      <w:pPr>
        <w:pStyle w:val="IQB-AnweisungenText"/>
        <w:keepNext/>
      </w:pPr>
      <w:r w:rsidRPr="00CA4F42">
        <w:rPr>
          <w:noProof/>
        </w:rPr>
        <w:drawing>
          <wp:inline distT="0" distB="0" distL="0" distR="0">
            <wp:extent cx="3431540" cy="1973580"/>
            <wp:effectExtent l="19050" t="19050" r="16510" b="266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8" cstate="print">
                      <a:extLst>
                        <a:ext uri="{28A0092B-C50C-407E-A947-70E740481C1C}">
                          <a14:useLocalDpi xmlns:a14="http://schemas.microsoft.com/office/drawing/2010/main" val="0"/>
                        </a:ext>
                      </a:extLst>
                    </a:blip>
                    <a:srcRect r="32800"/>
                    <a:stretch>
                      <a:fillRect/>
                    </a:stretch>
                  </pic:blipFill>
                  <pic:spPr bwMode="auto">
                    <a:xfrm>
                      <a:off x="0" y="0"/>
                      <a:ext cx="3431540" cy="1973580"/>
                    </a:xfrm>
                    <a:prstGeom prst="rect">
                      <a:avLst/>
                    </a:prstGeom>
                    <a:noFill/>
                    <a:ln w="6350" cmpd="sng">
                      <a:solidFill>
                        <a:srgbClr val="000000"/>
                      </a:solidFill>
                      <a:miter lim="800000"/>
                      <a:headEnd/>
                      <a:tailEnd/>
                    </a:ln>
                    <a:effectLst/>
                  </pic:spPr>
                </pic:pic>
              </a:graphicData>
            </a:graphic>
          </wp:inline>
        </w:drawing>
      </w:r>
    </w:p>
    <w:p w:rsidR="00B47B08" w:rsidRPr="007961C2" w:rsidRDefault="00B47B08" w:rsidP="00B47B08">
      <w:pPr>
        <w:pStyle w:val="Beschriftung"/>
        <w:spacing w:before="80" w:after="120"/>
        <w:jc w:val="both"/>
        <w:rPr>
          <w:b w:val="0"/>
        </w:rPr>
      </w:pPr>
      <w:r w:rsidRPr="007961C2">
        <w:rPr>
          <w:b w:val="0"/>
        </w:rPr>
        <w:t>Abbildung 1: Schülerlösung</w:t>
      </w:r>
    </w:p>
    <w:p w:rsidR="00B47B08" w:rsidRPr="00DE305F" w:rsidRDefault="00B47B08" w:rsidP="00B47B08">
      <w:pPr>
        <w:pStyle w:val="IQB-AnweisungenText"/>
        <w:spacing w:after="120"/>
        <w:rPr>
          <w:rFonts w:ascii="Arial" w:hAnsi="Arial"/>
          <w:sz w:val="22"/>
          <w:szCs w:val="22"/>
        </w:rPr>
      </w:pPr>
      <w:r w:rsidRPr="00DE305F">
        <w:rPr>
          <w:rFonts w:ascii="Arial" w:hAnsi="Arial"/>
          <w:sz w:val="22"/>
          <w:szCs w:val="22"/>
        </w:rPr>
        <w:t>Eine Möglichkeit dem im Unterricht entgegenzuwirken besteht darin, die Multiplikation schon früh mit der Vorstellung der Berechnung des Flä</w:t>
      </w:r>
      <w:r>
        <w:rPr>
          <w:rFonts w:ascii="Arial" w:hAnsi="Arial"/>
          <w:sz w:val="22"/>
          <w:szCs w:val="22"/>
        </w:rPr>
        <w:t xml:space="preserve">cheninhalts eines Rechtecks </w:t>
      </w:r>
      <w:r w:rsidRPr="00DE305F">
        <w:rPr>
          <w:rFonts w:ascii="Arial" w:hAnsi="Arial"/>
          <w:sz w:val="22"/>
          <w:szCs w:val="22"/>
        </w:rPr>
        <w:t xml:space="preserve">zu verbinden. In diesem </w:t>
      </w:r>
      <w:r w:rsidRPr="00DE305F">
        <w:rPr>
          <w:rFonts w:ascii="Arial" w:hAnsi="Arial"/>
          <w:sz w:val="22"/>
          <w:szCs w:val="22"/>
        </w:rPr>
        <w:lastRenderedPageBreak/>
        <w:t>Sinne wäre die Berechnung des Flächeninhalts eines Rechtecks eine Visualisierung der Multiplikation (siehe Abbildung 2).</w:t>
      </w:r>
    </w:p>
    <w:p w:rsidR="00B47B08" w:rsidRPr="00CA4F42" w:rsidRDefault="00B47B08" w:rsidP="00B47B08">
      <w:pPr>
        <w:pStyle w:val="IQB-AnweisungenText"/>
        <w:keepNext/>
      </w:pPr>
      <w:r w:rsidRPr="00CA4F42">
        <w:rPr>
          <w:noProof/>
        </w:rPr>
        <w:drawing>
          <wp:inline distT="0" distB="0" distL="0" distR="0">
            <wp:extent cx="2172970" cy="1539240"/>
            <wp:effectExtent l="19050" t="19050" r="17780" b="2286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72970" cy="1539240"/>
                    </a:xfrm>
                    <a:prstGeom prst="rect">
                      <a:avLst/>
                    </a:prstGeom>
                    <a:noFill/>
                    <a:ln w="6350" cmpd="sng">
                      <a:solidFill>
                        <a:srgbClr val="000000"/>
                      </a:solidFill>
                      <a:miter lim="800000"/>
                      <a:headEnd/>
                      <a:tailEnd/>
                    </a:ln>
                    <a:effectLst/>
                  </pic:spPr>
                </pic:pic>
              </a:graphicData>
            </a:graphic>
          </wp:inline>
        </w:drawing>
      </w:r>
    </w:p>
    <w:p w:rsidR="00B47B08" w:rsidRPr="00CA4F42" w:rsidRDefault="00B47B08" w:rsidP="00B47B08">
      <w:pPr>
        <w:pStyle w:val="Beschriftung"/>
        <w:spacing w:before="80" w:after="120"/>
        <w:jc w:val="both"/>
      </w:pPr>
      <w:r w:rsidRPr="007961C2">
        <w:rPr>
          <w:b w:val="0"/>
        </w:rPr>
        <w:t>Abbildung 2: Multiplikation als Flächenberechnung</w:t>
      </w:r>
    </w:p>
    <w:p w:rsidR="00B47B08" w:rsidRPr="00DE305F" w:rsidRDefault="00B47B08" w:rsidP="00B47B08">
      <w:pPr>
        <w:pStyle w:val="IQB-AnweisungenText"/>
        <w:spacing w:after="120"/>
        <w:rPr>
          <w:rFonts w:ascii="Arial" w:hAnsi="Arial"/>
          <w:sz w:val="22"/>
          <w:szCs w:val="22"/>
        </w:rPr>
      </w:pPr>
      <w:r w:rsidRPr="00DE305F">
        <w:rPr>
          <w:rFonts w:ascii="Arial" w:hAnsi="Arial"/>
          <w:sz w:val="22"/>
          <w:szCs w:val="22"/>
        </w:rPr>
        <w:t>Dieses Vorgehen bietet über mehrere Klassenstufen hinweg angewendet diverse didaktische Potenziale. Zum einen könnte die Multiplikation anschaulich von der Addition aus entwickelt werden, indem die Multiplikation als Zusammenfassung bzw. Vereinfachung des Abzählens von Quadratflächen verstanden wird. In der Sekundarstufe I kann auf diese Veranschaulichung</w:t>
      </w:r>
      <w:r>
        <w:rPr>
          <w:rFonts w:ascii="Arial" w:hAnsi="Arial"/>
          <w:sz w:val="22"/>
          <w:szCs w:val="22"/>
        </w:rPr>
        <w:t xml:space="preserve"> </w:t>
      </w:r>
      <w:bookmarkStart w:id="0" w:name="_GoBack"/>
      <w:bookmarkEnd w:id="0"/>
      <w:r w:rsidRPr="00DE305F">
        <w:rPr>
          <w:rFonts w:ascii="Arial" w:hAnsi="Arial"/>
          <w:sz w:val="22"/>
          <w:szCs w:val="22"/>
        </w:rPr>
        <w:t>zurückgegriffen werden, wenn im Unterricht Terme und Termumformungen behandelt werden (siehe Abbildung 3). Insbesondere eignet sich dieses Verfahren, um die binomischen Formeln zu visualisieren (siehe Abbildung 4).</w:t>
      </w:r>
    </w:p>
    <w:p w:rsidR="00B47B08" w:rsidRPr="00CA4F42" w:rsidRDefault="00B47B08" w:rsidP="00B47B08">
      <w:pPr>
        <w:pStyle w:val="IQB-AnweisungenText"/>
        <w:keepNext/>
      </w:pPr>
      <w:r w:rsidRPr="00CA4F42">
        <w:rPr>
          <w:noProof/>
        </w:rPr>
        <w:drawing>
          <wp:inline distT="0" distB="0" distL="0" distR="0">
            <wp:extent cx="2172970" cy="1539240"/>
            <wp:effectExtent l="19050" t="19050" r="17780" b="2286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72970" cy="1539240"/>
                    </a:xfrm>
                    <a:prstGeom prst="rect">
                      <a:avLst/>
                    </a:prstGeom>
                    <a:noFill/>
                    <a:ln w="6350" cmpd="sng">
                      <a:solidFill>
                        <a:srgbClr val="000000"/>
                      </a:solidFill>
                      <a:miter lim="800000"/>
                      <a:headEnd/>
                      <a:tailEnd/>
                    </a:ln>
                    <a:effectLst/>
                  </pic:spPr>
                </pic:pic>
              </a:graphicData>
            </a:graphic>
          </wp:inline>
        </w:drawing>
      </w:r>
    </w:p>
    <w:p w:rsidR="00B47B08" w:rsidRPr="007961C2" w:rsidRDefault="00B47B08" w:rsidP="00B47B08">
      <w:pPr>
        <w:pStyle w:val="Beschriftung"/>
        <w:spacing w:before="80" w:after="120"/>
        <w:jc w:val="both"/>
        <w:rPr>
          <w:b w:val="0"/>
        </w:rPr>
      </w:pPr>
      <w:r w:rsidRPr="007961C2">
        <w:rPr>
          <w:b w:val="0"/>
        </w:rPr>
        <w:t>Abbildung 3: Visualisierung von 7a + 5a = 12a</w:t>
      </w:r>
    </w:p>
    <w:p w:rsidR="00B47B08" w:rsidRPr="00101A64" w:rsidRDefault="00B47B08" w:rsidP="00B47B08">
      <w:pPr>
        <w:pStyle w:val="IQB-AnweisungenText"/>
        <w:rPr>
          <w:rFonts w:ascii="Arial" w:hAnsi="Arial"/>
          <w:sz w:val="22"/>
          <w:szCs w:val="22"/>
        </w:rPr>
      </w:pPr>
      <w:r w:rsidRPr="00101A64">
        <w:rPr>
          <w:rFonts w:ascii="Arial" w:hAnsi="Arial"/>
          <w:sz w:val="22"/>
          <w:szCs w:val="22"/>
        </w:rPr>
        <w:t>Mithilfe dieser anschaulichen Deutung der Multiplikation wird dann auch der Grundstein für eine geometrische Deutung verschiedener Arten der Multiplikation bei Vektoren in der Sekundarstufe II gelegt</w:t>
      </w:r>
      <w:r>
        <w:rPr>
          <w:rFonts w:ascii="Arial" w:hAnsi="Arial"/>
          <w:sz w:val="22"/>
          <w:szCs w:val="22"/>
        </w:rPr>
        <w:t xml:space="preserve"> </w:t>
      </w:r>
      <w:r w:rsidRPr="00391544">
        <w:rPr>
          <w:rFonts w:ascii="Arial" w:hAnsi="Arial"/>
          <w:sz w:val="22"/>
          <w:szCs w:val="22"/>
        </w:rPr>
        <w:t>(siehe Abbildung 4).</w:t>
      </w:r>
      <w:r w:rsidRPr="00101A64">
        <w:rPr>
          <w:rFonts w:ascii="Arial" w:hAnsi="Arial"/>
          <w:sz w:val="22"/>
          <w:szCs w:val="22"/>
        </w:rPr>
        <w:t xml:space="preserve"> So liefert der Betrag des Kreuzprodukts zweier Vektoren den Flächeninhalt des Parallelogramms, das durch die beiden Vektoren aufgespannt wird. Der Betrag des </w:t>
      </w:r>
      <w:proofErr w:type="spellStart"/>
      <w:r w:rsidRPr="00101A64">
        <w:rPr>
          <w:rFonts w:ascii="Arial" w:hAnsi="Arial"/>
          <w:sz w:val="22"/>
          <w:szCs w:val="22"/>
        </w:rPr>
        <w:t>Spatprodukts</w:t>
      </w:r>
      <w:proofErr w:type="spellEnd"/>
      <w:r w:rsidRPr="00101A64">
        <w:rPr>
          <w:rFonts w:ascii="Arial" w:hAnsi="Arial"/>
          <w:sz w:val="22"/>
          <w:szCs w:val="22"/>
        </w:rPr>
        <w:t xml:space="preserve"> liefert den Rauminhalt des Spats.</w:t>
      </w:r>
    </w:p>
    <w:p w:rsidR="00B47B08" w:rsidRPr="00BD2C93" w:rsidRDefault="00B47B08" w:rsidP="00B47B08">
      <w:pPr>
        <w:pStyle w:val="IQB-AnweisungenText"/>
        <w:keepNext/>
        <w:rPr>
          <w:noProof/>
        </w:rPr>
      </w:pPr>
      <w:r>
        <w:rPr>
          <w:noProof/>
        </w:rPr>
        <w:drawing>
          <wp:inline distT="0" distB="0" distL="0" distR="0">
            <wp:extent cx="1484630" cy="1457325"/>
            <wp:effectExtent l="19050" t="19050" r="20320" b="28575"/>
            <wp:docPr id="1" name="Grafik 1"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84630" cy="1457325"/>
                    </a:xfrm>
                    <a:prstGeom prst="rect">
                      <a:avLst/>
                    </a:prstGeom>
                    <a:noFill/>
                    <a:ln w="6350" cmpd="sng">
                      <a:solidFill>
                        <a:srgbClr val="000000"/>
                      </a:solidFill>
                      <a:miter lim="800000"/>
                      <a:headEnd/>
                      <a:tailEnd/>
                    </a:ln>
                    <a:effectLst/>
                  </pic:spPr>
                </pic:pic>
              </a:graphicData>
            </a:graphic>
          </wp:inline>
        </w:drawing>
      </w:r>
    </w:p>
    <w:p w:rsidR="00B47B08" w:rsidRPr="007961C2" w:rsidRDefault="00B47B08" w:rsidP="00B47B08">
      <w:pPr>
        <w:pStyle w:val="Beschriftung"/>
        <w:spacing w:before="80" w:after="120"/>
        <w:jc w:val="both"/>
        <w:rPr>
          <w:b w:val="0"/>
        </w:rPr>
      </w:pPr>
      <w:r w:rsidRPr="007961C2">
        <w:rPr>
          <w:b w:val="0"/>
        </w:rPr>
        <w:t>Abbildung 4: Visualisierung der 1. Binomischen Formel</w:t>
      </w:r>
    </w:p>
    <w:p w:rsidR="00694A63" w:rsidRPr="005B2F65" w:rsidRDefault="00694A63" w:rsidP="00B47B08">
      <w:pPr>
        <w:pStyle w:val="IQB-AnweisungenText"/>
        <w:spacing w:before="0" w:after="120"/>
        <w:rPr>
          <w:sz w:val="22"/>
          <w:szCs w:val="22"/>
        </w:rPr>
      </w:pPr>
    </w:p>
    <w:sectPr w:rsidR="00694A63" w:rsidRPr="005B2F65" w:rsidSect="00DB65DC">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Bold r:id="rId1" w:subsetted="1" w:fontKey="{BBE078A4-B608-4C24-B0F2-CF64F2D0B71D}"/>
  </w:font>
  <w:font w:name="Arial">
    <w:panose1 w:val="020B0604020202020204"/>
    <w:charset w:val="00"/>
    <w:family w:val="swiss"/>
    <w:pitch w:val="variable"/>
    <w:sig w:usb0="E0002EFF" w:usb1="C000785B" w:usb2="00000009" w:usb3="00000000" w:csb0="000001FF" w:csb1="00000000"/>
    <w:embedRegular r:id="rId2" w:fontKey="{4B7DEC2C-15E2-4E06-B105-283AB81C33F8}"/>
    <w:embedBold r:id="rId3" w:fontKey="{1D1CC1F9-1142-4F58-8F25-3B44E58721E5}"/>
    <w:embedItalic r:id="rId4" w:fontKey="{208E0429-9005-4148-BF2A-389FB6A475C3}"/>
    <w:embedBoldItalic r:id="rId5" w:fontKey="{2EAD1B34-958E-4B89-8574-5651714086AA}"/>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03B2B0E"/>
    <w:multiLevelType w:val="hybridMultilevel"/>
    <w:tmpl w:val="FA6C8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2"/>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47B08"/>
    <w:rsid w:val="00B8136A"/>
    <w:rsid w:val="00B91E9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28172E5E"/>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uiPriority w:val="99"/>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uiPriority w:val="99"/>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5921F8-329F-48BA-A164-7FE1E1CBF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362</Words>
  <Characters>2475</Characters>
  <Application>Microsoft Office Word</Application>
  <DocSecurity>0</DocSecurity>
  <Lines>58</Lines>
  <Paragraphs>41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2025-07-21T10:18:00Z</dcterms:created>
  <dcterms:modified xsi:type="dcterms:W3CDTF">2025-07-21T10:18:00Z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